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3" w:footer="1250" w:top="1660" w:bottom="1440" w:left="800" w:right="800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31"/>
        </w:rPr>
      </w:pPr>
    </w:p>
    <w:p>
      <w:pPr>
        <w:pStyle w:val="Heading2"/>
        <w:spacing w:before="0"/>
        <w:ind w:left="220"/>
      </w:pPr>
      <w:r>
        <w:rPr>
          <w:spacing w:val="2"/>
        </w:rPr>
        <w:t>一、仪器与试剂</w:t>
      </w:r>
    </w:p>
    <w:p>
      <w:pPr>
        <w:pStyle w:val="Title"/>
      </w:pPr>
      <w:r>
        <w:rPr>
          <w:b w:val="0"/>
        </w:rPr>
        <w:br w:type="column"/>
      </w:r>
      <w:r>
        <w:rPr>
          <w:w w:val="95"/>
        </w:rPr>
        <w:t>细胞复苏、传代与冻存操作流程</w:t>
      </w:r>
    </w:p>
    <w:p>
      <w:pPr>
        <w:spacing w:after="0"/>
        <w:sectPr>
          <w:type w:val="continuous"/>
          <w:pgSz w:w="11910" w:h="16840"/>
          <w:pgMar w:header="283" w:footer="1250" w:top="1660" w:bottom="1440" w:left="800" w:right="800"/>
          <w:cols w:num="2" w:equalWidth="0">
            <w:col w:w="1936" w:space="40"/>
            <w:col w:w="833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9"/>
        <w:gridCol w:w="3667"/>
        <w:gridCol w:w="4194"/>
      </w:tblGrid>
      <w:tr>
        <w:trPr>
          <w:trHeight w:val="468" w:hRule="atLeast"/>
        </w:trPr>
        <w:tc>
          <w:tcPr>
            <w:tcW w:w="2219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right="5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仪器</w:t>
            </w:r>
          </w:p>
        </w:tc>
        <w:tc>
          <w:tcPr>
            <w:tcW w:w="366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553" w:right="36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试剂</w:t>
            </w:r>
          </w:p>
        </w:tc>
        <w:tc>
          <w:tcPr>
            <w:tcW w:w="4194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ind w:left="361" w:right="18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耗材</w:t>
            </w:r>
          </w:p>
        </w:tc>
      </w:tr>
      <w:tr>
        <w:trPr>
          <w:trHeight w:val="472" w:hRule="atLeast"/>
        </w:trPr>
        <w:tc>
          <w:tcPr>
            <w:tcW w:w="22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right="556"/>
              <w:rPr>
                <w:sz w:val="21"/>
              </w:rPr>
            </w:pPr>
            <w:r>
              <w:rPr>
                <w:sz w:val="21"/>
              </w:rPr>
              <w:t>离心机</w:t>
            </w:r>
          </w:p>
        </w:tc>
        <w:tc>
          <w:tcPr>
            <w:tcW w:w="36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553" w:right="361"/>
              <w:rPr>
                <w:sz w:val="21"/>
              </w:rPr>
            </w:pPr>
            <w:r>
              <w:rPr>
                <w:sz w:val="21"/>
              </w:rPr>
              <w:t>胎牛血清（</w:t>
            </w:r>
            <w:r>
              <w:rPr>
                <w:rFonts w:ascii="Times New Roman" w:eastAsia="Times New Roman"/>
                <w:sz w:val="21"/>
              </w:rPr>
              <w:t>FBS</w:t>
            </w:r>
            <w:r>
              <w:rPr>
                <w:sz w:val="21"/>
              </w:rPr>
              <w:t>）</w:t>
            </w:r>
          </w:p>
        </w:tc>
        <w:tc>
          <w:tcPr>
            <w:tcW w:w="4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9"/>
              <w:ind w:left="361" w:right="187"/>
              <w:rPr>
                <w:sz w:val="21"/>
              </w:rPr>
            </w:pPr>
            <w:r>
              <w:rPr>
                <w:sz w:val="21"/>
              </w:rPr>
              <w:t>离心管（</w:t>
            </w:r>
            <w:r>
              <w:rPr>
                <w:rFonts w:ascii="Times New Roman" w:eastAsia="Times New Roman"/>
                <w:sz w:val="21"/>
              </w:rPr>
              <w:t>15ml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50ml</w:t>
            </w:r>
            <w:r>
              <w:rPr>
                <w:sz w:val="21"/>
              </w:rPr>
              <w:t>）</w:t>
            </w:r>
          </w:p>
        </w:tc>
      </w:tr>
      <w:tr>
        <w:trPr>
          <w:trHeight w:val="468" w:hRule="atLeast"/>
        </w:trPr>
        <w:tc>
          <w:tcPr>
            <w:tcW w:w="2219" w:type="dxa"/>
          </w:tcPr>
          <w:p>
            <w:pPr>
              <w:pStyle w:val="TableParagraph"/>
              <w:ind w:right="558"/>
              <w:rPr>
                <w:sz w:val="21"/>
              </w:rPr>
            </w:pPr>
            <w:r>
              <w:rPr>
                <w:sz w:val="21"/>
              </w:rPr>
              <w:t>生物安全柜</w:t>
            </w:r>
          </w:p>
        </w:tc>
        <w:tc>
          <w:tcPr>
            <w:tcW w:w="3667" w:type="dxa"/>
          </w:tcPr>
          <w:p>
            <w:pPr>
              <w:pStyle w:val="TableParagraph"/>
              <w:ind w:left="556" w:right="361"/>
              <w:rPr>
                <w:rFonts w:ascii="Times New Roman" w:hAnsi="Times New Roman" w:eastAsia="Times New Roman"/>
                <w:sz w:val="21"/>
              </w:rPr>
            </w:pPr>
            <w:r>
              <w:rPr>
                <w:spacing w:val="-8"/>
                <w:w w:val="95"/>
                <w:sz w:val="21"/>
              </w:rPr>
              <w:t>无菌 </w:t>
            </w:r>
            <w:r>
              <w:rPr>
                <w:rFonts w:ascii="Times New Roman" w:hAnsi="Times New Roman" w:eastAsia="Times New Roman"/>
                <w:w w:val="95"/>
                <w:sz w:val="21"/>
              </w:rPr>
              <w:t>1×PBS</w:t>
            </w:r>
            <w:r>
              <w:rPr>
                <w:rFonts w:ascii="Times New Roman" w:hAnsi="Times New Roman" w:eastAsia="Times New Roman"/>
                <w:spacing w:val="29"/>
                <w:w w:val="95"/>
                <w:sz w:val="21"/>
              </w:rPr>
              <w:t> </w:t>
            </w:r>
            <w:r>
              <w:rPr>
                <w:rFonts w:ascii="Times New Roman" w:hAnsi="Times New Roman" w:eastAsia="Times New Roman"/>
                <w:w w:val="95"/>
                <w:sz w:val="21"/>
              </w:rPr>
              <w:t>pH=7.2</w:t>
            </w:r>
          </w:p>
        </w:tc>
        <w:tc>
          <w:tcPr>
            <w:tcW w:w="4194" w:type="dxa"/>
          </w:tcPr>
          <w:p>
            <w:pPr>
              <w:pStyle w:val="TableParagraph"/>
              <w:ind w:left="361" w:right="18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T-25</w:t>
            </w:r>
            <w:r>
              <w:rPr>
                <w:rFonts w:ascii="Times New Roman" w:eastAsia="Times New Roman"/>
                <w:spacing w:val="-11"/>
                <w:sz w:val="21"/>
              </w:rPr>
              <w:t> </w:t>
            </w:r>
            <w:r>
              <w:rPr>
                <w:sz w:val="21"/>
              </w:rPr>
              <w:t>细胞培养瓶</w:t>
            </w:r>
          </w:p>
        </w:tc>
      </w:tr>
      <w:tr>
        <w:trPr>
          <w:trHeight w:val="467" w:hRule="atLeast"/>
        </w:trPr>
        <w:tc>
          <w:tcPr>
            <w:tcW w:w="2219" w:type="dxa"/>
          </w:tcPr>
          <w:p>
            <w:pPr>
              <w:pStyle w:val="TableParagraph"/>
              <w:ind w:right="558"/>
              <w:rPr>
                <w:sz w:val="21"/>
              </w:rPr>
            </w:pPr>
            <w:r>
              <w:rPr>
                <w:sz w:val="21"/>
              </w:rPr>
              <w:t>电动移液器</w:t>
            </w:r>
          </w:p>
        </w:tc>
        <w:tc>
          <w:tcPr>
            <w:tcW w:w="3667" w:type="dxa"/>
          </w:tcPr>
          <w:p>
            <w:pPr>
              <w:pStyle w:val="TableParagraph"/>
              <w:ind w:left="557" w:right="35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0.25%</w:t>
            </w:r>
            <w:r>
              <w:rPr>
                <w:sz w:val="21"/>
              </w:rPr>
              <w:t>胰蛋白酶</w:t>
            </w:r>
            <w:r>
              <w:rPr>
                <w:rFonts w:ascii="Times New Roman" w:eastAsia="Times New Roman"/>
                <w:sz w:val="21"/>
              </w:rPr>
              <w:t>+0.02%EDTA</w:t>
            </w:r>
          </w:p>
        </w:tc>
        <w:tc>
          <w:tcPr>
            <w:tcW w:w="4194" w:type="dxa"/>
          </w:tcPr>
          <w:p>
            <w:pPr>
              <w:pStyle w:val="TableParagraph"/>
              <w:ind w:left="361" w:right="187"/>
              <w:rPr>
                <w:sz w:val="21"/>
              </w:rPr>
            </w:pPr>
            <w:r>
              <w:rPr>
                <w:sz w:val="21"/>
              </w:rPr>
              <w:t>一次性无菌移液管（</w:t>
            </w:r>
            <w:r>
              <w:rPr>
                <w:rFonts w:ascii="Times New Roman" w:eastAsia="Times New Roman"/>
                <w:sz w:val="21"/>
              </w:rPr>
              <w:t>2ml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5ml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10ml</w:t>
            </w:r>
            <w:r>
              <w:rPr>
                <w:sz w:val="21"/>
              </w:rPr>
              <w:t>）</w:t>
            </w:r>
          </w:p>
        </w:tc>
      </w:tr>
      <w:tr>
        <w:trPr>
          <w:trHeight w:val="468" w:hRule="atLeast"/>
        </w:trPr>
        <w:tc>
          <w:tcPr>
            <w:tcW w:w="2219" w:type="dxa"/>
          </w:tcPr>
          <w:p>
            <w:pPr>
              <w:pStyle w:val="TableParagraph"/>
              <w:spacing w:before="91"/>
              <w:ind w:right="556"/>
              <w:rPr>
                <w:sz w:val="21"/>
              </w:rPr>
            </w:pPr>
            <w:r>
              <w:rPr>
                <w:rFonts w:ascii="Times New Roman" w:eastAsia="Times New Roman"/>
                <w:position w:val="2"/>
                <w:sz w:val="21"/>
              </w:rPr>
              <w:t>CO</w:t>
            </w:r>
            <w:r>
              <w:rPr>
                <w:rFonts w:ascii="Times New Roman" w:eastAsia="Times New Roman"/>
                <w:sz w:val="13"/>
              </w:rPr>
              <w:t>2</w:t>
            </w:r>
            <w:r>
              <w:rPr>
                <w:rFonts w:ascii="Times New Roman" w:eastAsia="Times New Roman"/>
                <w:spacing w:val="1"/>
                <w:sz w:val="13"/>
              </w:rPr>
              <w:t> </w:t>
            </w:r>
            <w:r>
              <w:rPr>
                <w:position w:val="2"/>
                <w:sz w:val="21"/>
              </w:rPr>
              <w:t>培养箱</w:t>
            </w:r>
          </w:p>
        </w:tc>
        <w:tc>
          <w:tcPr>
            <w:tcW w:w="3667" w:type="dxa"/>
          </w:tcPr>
          <w:p>
            <w:pPr>
              <w:pStyle w:val="TableParagraph"/>
              <w:ind w:left="548" w:right="361"/>
              <w:rPr>
                <w:sz w:val="21"/>
              </w:rPr>
            </w:pPr>
            <w:r>
              <w:rPr>
                <w:sz w:val="21"/>
              </w:rPr>
              <w:t>完全培养基（含血清）</w:t>
            </w:r>
          </w:p>
        </w:tc>
        <w:tc>
          <w:tcPr>
            <w:tcW w:w="4194" w:type="dxa"/>
          </w:tcPr>
          <w:p>
            <w:pPr>
              <w:pStyle w:val="TableParagraph"/>
              <w:ind w:left="361" w:right="18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1.8mL</w:t>
            </w:r>
            <w:r>
              <w:rPr>
                <w:rFonts w:ascii="Times New Roman" w:eastAsia="Times New Roman"/>
                <w:spacing w:val="-4"/>
                <w:sz w:val="21"/>
              </w:rPr>
              <w:t> </w:t>
            </w:r>
            <w:r>
              <w:rPr>
                <w:sz w:val="21"/>
              </w:rPr>
              <w:t>冻存管</w:t>
            </w:r>
          </w:p>
        </w:tc>
      </w:tr>
      <w:tr>
        <w:trPr>
          <w:trHeight w:val="930" w:hRule="atLeast"/>
        </w:trPr>
        <w:tc>
          <w:tcPr>
            <w:tcW w:w="2219" w:type="dxa"/>
          </w:tcPr>
          <w:p>
            <w:pPr>
              <w:pStyle w:val="TableParagraph"/>
              <w:ind w:right="558"/>
              <w:rPr>
                <w:sz w:val="21"/>
              </w:rPr>
            </w:pPr>
            <w:r>
              <w:rPr>
                <w:sz w:val="21"/>
              </w:rPr>
              <w:t>倒置显微镜</w:t>
            </w:r>
          </w:p>
          <w:p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right="556"/>
              <w:rPr>
                <w:sz w:val="21"/>
              </w:rPr>
            </w:pPr>
            <w:r>
              <w:rPr>
                <w:sz w:val="21"/>
              </w:rPr>
              <w:t>液氮罐</w:t>
            </w:r>
          </w:p>
        </w:tc>
        <w:tc>
          <w:tcPr>
            <w:tcW w:w="3667" w:type="dxa"/>
          </w:tcPr>
          <w:p>
            <w:pPr>
              <w:pStyle w:val="TableParagraph"/>
              <w:ind w:left="557" w:right="361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冻存液：</w:t>
            </w:r>
            <w:r>
              <w:rPr>
                <w:rFonts w:ascii="Times New Roman" w:eastAsia="Times New Roman"/>
                <w:sz w:val="21"/>
              </w:rPr>
              <w:t>90%FBS+10%DMSO</w:t>
            </w:r>
          </w:p>
          <w:p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548" w:right="361"/>
              <w:rPr>
                <w:sz w:val="21"/>
              </w:rPr>
            </w:pPr>
            <w:r>
              <w:rPr>
                <w:sz w:val="21"/>
              </w:rPr>
              <w:t>异丙醇</w:t>
            </w:r>
          </w:p>
        </w:tc>
        <w:tc>
          <w:tcPr>
            <w:tcW w:w="4194" w:type="dxa"/>
          </w:tcPr>
          <w:p>
            <w:pPr>
              <w:pStyle w:val="TableParagraph"/>
              <w:ind w:left="361" w:right="185"/>
              <w:rPr>
                <w:sz w:val="21"/>
              </w:rPr>
            </w:pPr>
            <w:r>
              <w:rPr>
                <w:sz w:val="21"/>
              </w:rPr>
              <w:t>程序降温盒</w:t>
            </w:r>
          </w:p>
        </w:tc>
      </w:tr>
      <w:tr>
        <w:trPr>
          <w:trHeight w:val="468" w:hRule="atLeast"/>
        </w:trPr>
        <w:tc>
          <w:tcPr>
            <w:tcW w:w="2219" w:type="dxa"/>
          </w:tcPr>
          <w:p>
            <w:pPr>
              <w:pStyle w:val="TableParagraph"/>
              <w:spacing w:before="99"/>
              <w:ind w:right="558"/>
              <w:rPr>
                <w:sz w:val="21"/>
              </w:rPr>
            </w:pPr>
            <w:r>
              <w:rPr>
                <w:sz w:val="21"/>
              </w:rPr>
              <w:t>恒温水浴锅</w:t>
            </w:r>
          </w:p>
        </w:tc>
        <w:tc>
          <w:tcPr>
            <w:tcW w:w="366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22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558"/>
              <w:rPr>
                <w:sz w:val="21"/>
              </w:rPr>
            </w:pPr>
            <w:r>
              <w:rPr>
                <w:sz w:val="21"/>
              </w:rPr>
              <w:t>超低温冰箱</w:t>
            </w:r>
          </w:p>
        </w:tc>
        <w:tc>
          <w:tcPr>
            <w:tcW w:w="36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41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364" w:lineRule="auto" w:before="69"/>
        <w:ind w:left="220" w:right="7703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2912">
            <wp:simplePos x="0" y="0"/>
            <wp:positionH relativeFrom="page">
              <wp:posOffset>648334</wp:posOffset>
            </wp:positionH>
            <wp:positionV relativeFrom="paragraph">
              <wp:posOffset>587374</wp:posOffset>
            </wp:positionV>
            <wp:extent cx="356870" cy="31305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049999pt;margin-top:46.249992pt;width:28.1pt;height:24.65pt;mso-position-horizontal-relative:page;mso-position-vertical-relative:paragraph;z-index:-15853056" type="#_x0000_t202" id="docshape6" filled="false" stroked="false">
            <v:textbox inset="0,0,0,0">
              <w:txbxContent>
                <w:p>
                  <w:pPr>
                    <w:spacing w:before="133"/>
                    <w:ind w:left="-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3"/>
                      <w:sz w:val="28"/>
                    </w:rPr>
                    <w:t>复苏</w:t>
                  </w:r>
                </w:p>
              </w:txbxContent>
            </v:textbox>
            <w10:wrap type="none"/>
          </v:shape>
        </w:pict>
      </w:r>
      <w:r>
        <w:rPr>
          <w:spacing w:val="-1"/>
          <w:sz w:val="24"/>
        </w:rPr>
        <w:t>护目镜</w:t>
      </w:r>
      <w:r>
        <w:rPr>
          <w:sz w:val="22"/>
        </w:rPr>
        <w:t>、</w:t>
      </w:r>
      <w:r>
        <w:rPr>
          <w:sz w:val="24"/>
        </w:rPr>
        <w:t>厚毛线手套等</w:t>
      </w:r>
      <w:r>
        <w:rPr>
          <w:b/>
          <w:spacing w:val="3"/>
          <w:sz w:val="24"/>
        </w:rPr>
        <w:t>二、操作流程：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74" w:after="0"/>
        <w:ind w:left="580" w:right="0" w:hanging="360"/>
        <w:jc w:val="left"/>
        <w:rPr>
          <w:rFonts w:ascii="Times New Roman" w:hAnsi="Times New Roman" w:eastAsia="Times New Roman"/>
          <w:sz w:val="24"/>
        </w:rPr>
      </w:pPr>
      <w:r>
        <w:rPr>
          <w:w w:val="95"/>
          <w:sz w:val="24"/>
        </w:rPr>
        <w:t>将恒温水浴锅中的水预热到</w:t>
      </w:r>
      <w:r>
        <w:rPr>
          <w:spacing w:val="119"/>
          <w:sz w:val="24"/>
        </w:rPr>
        <w:t> </w:t>
      </w:r>
      <w:r>
        <w:rPr>
          <w:rFonts w:ascii="Times New Roman" w:hAnsi="Times New Roman" w:eastAsia="Times New Roman"/>
          <w:w w:val="95"/>
          <w:sz w:val="24"/>
        </w:rPr>
        <w:t>37</w:t>
      </w:r>
      <w:r>
        <w:rPr>
          <w:w w:val="95"/>
          <w:sz w:val="24"/>
        </w:rPr>
        <w:t>℃；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160" w:after="0"/>
        <w:ind w:left="580" w:right="0" w:hanging="360"/>
        <w:jc w:val="left"/>
        <w:rPr>
          <w:rFonts w:ascii="Times New Roman" w:hAnsi="Times New Roman" w:eastAsia="Times New Roman"/>
          <w:sz w:val="24"/>
        </w:rPr>
      </w:pPr>
      <w:r>
        <w:rPr>
          <w:spacing w:val="-13"/>
          <w:sz w:val="24"/>
        </w:rPr>
        <w:t>准备一支 </w:t>
      </w:r>
      <w:r>
        <w:rPr>
          <w:rFonts w:ascii="Times New Roman" w:hAnsi="Times New Roman" w:eastAsia="Times New Roman"/>
          <w:sz w:val="24"/>
        </w:rPr>
        <w:t>15ml </w:t>
      </w:r>
      <w:r>
        <w:rPr>
          <w:spacing w:val="-9"/>
          <w:sz w:val="24"/>
        </w:rPr>
        <w:t>离心管，加入 </w:t>
      </w:r>
      <w:r>
        <w:rPr>
          <w:rFonts w:ascii="Times New Roman" w:hAnsi="Times New Roman" w:eastAsia="Times New Roman"/>
          <w:sz w:val="24"/>
        </w:rPr>
        <w:t>5ml</w:t>
      </w:r>
      <w:r>
        <w:rPr>
          <w:rFonts w:ascii="Times New Roman" w:hAnsi="Times New Roman" w:eastAsia="Times New Roman"/>
          <w:spacing w:val="-2"/>
          <w:sz w:val="24"/>
        </w:rPr>
        <w:t> </w:t>
      </w:r>
      <w:r>
        <w:rPr>
          <w:spacing w:val="-30"/>
          <w:sz w:val="24"/>
        </w:rPr>
        <w:t>含 </w:t>
      </w:r>
      <w:r>
        <w:rPr>
          <w:rFonts w:ascii="Times New Roman" w:hAnsi="Times New Roman" w:eastAsia="Times New Roman"/>
          <w:sz w:val="24"/>
        </w:rPr>
        <w:t>10%FBS </w:t>
      </w:r>
      <w:r>
        <w:rPr>
          <w:spacing w:val="-6"/>
          <w:sz w:val="24"/>
        </w:rPr>
        <w:t>的完全培养基，放入 </w:t>
      </w:r>
      <w:r>
        <w:rPr>
          <w:rFonts w:ascii="Times New Roman" w:hAnsi="Times New Roman" w:eastAsia="Times New Roman"/>
          <w:sz w:val="24"/>
        </w:rPr>
        <w:t>37</w:t>
      </w:r>
      <w:r>
        <w:rPr>
          <w:sz w:val="24"/>
        </w:rPr>
        <w:t>℃水浴锅中预热；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364" w:lineRule="auto" w:before="161" w:after="0"/>
        <w:ind w:left="580" w:right="220" w:hanging="360"/>
        <w:jc w:val="left"/>
        <w:rPr>
          <w:rFonts w:ascii="Times New Roman" w:hAnsi="Times New Roman" w:eastAsia="Times New Roman"/>
          <w:sz w:val="24"/>
        </w:rPr>
      </w:pPr>
      <w:r>
        <w:rPr>
          <w:spacing w:val="-1"/>
          <w:sz w:val="24"/>
        </w:rPr>
        <w:t>戴上护目镜，厚毛线手套后，从液氮罐中取出要复苏的细胞，尽快转入 </w:t>
      </w:r>
      <w:r>
        <w:rPr>
          <w:rFonts w:ascii="Times New Roman" w:hAnsi="Times New Roman" w:eastAsia="Times New Roman"/>
          <w:sz w:val="24"/>
        </w:rPr>
        <w:t>37</w:t>
      </w:r>
      <w:r>
        <w:rPr>
          <w:sz w:val="24"/>
        </w:rPr>
        <w:t>℃恒温水浴锅中复温晃动冻存管以提高复温速率；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1" w:after="0"/>
        <w:ind w:left="580" w:right="0" w:hanging="360"/>
        <w:jc w:val="left"/>
        <w:rPr>
          <w:rFonts w:ascii="Times New Roman" w:eastAsia="Times New Roman"/>
          <w:sz w:val="24"/>
        </w:rPr>
      </w:pPr>
      <w:r>
        <w:rPr>
          <w:spacing w:val="-1"/>
          <w:sz w:val="24"/>
        </w:rPr>
        <w:t>将融化了的冻存管中的细胞吸入事先准备的离心管中，混匀后，</w:t>
      </w:r>
      <w:r>
        <w:rPr>
          <w:rFonts w:ascii="Times New Roman" w:eastAsia="Times New Roman"/>
          <w:sz w:val="24"/>
        </w:rPr>
        <w:t>1000rpm </w:t>
      </w:r>
      <w:r>
        <w:rPr>
          <w:spacing w:val="-20"/>
          <w:sz w:val="24"/>
        </w:rPr>
        <w:t>离心 </w:t>
      </w:r>
      <w:r>
        <w:rPr>
          <w:rFonts w:ascii="Times New Roman" w:eastAsia="Times New Roman"/>
          <w:sz w:val="24"/>
        </w:rPr>
        <w:t>5min</w:t>
      </w:r>
      <w:r>
        <w:rPr>
          <w:sz w:val="24"/>
        </w:rPr>
        <w:t>；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160" w:after="0"/>
        <w:ind w:left="580" w:right="0" w:hanging="360"/>
        <w:jc w:val="left"/>
        <w:rPr>
          <w:rFonts w:ascii="Times New Roman" w:eastAsia="Times New Roman"/>
          <w:sz w:val="24"/>
        </w:rPr>
      </w:pPr>
      <w:r>
        <w:rPr>
          <w:spacing w:val="-13"/>
          <w:sz w:val="24"/>
        </w:rPr>
        <w:t>准备一个 </w:t>
      </w:r>
      <w:r>
        <w:rPr>
          <w:rFonts w:ascii="Times New Roman" w:eastAsia="Times New Roman"/>
          <w:spacing w:val="-1"/>
          <w:sz w:val="24"/>
        </w:rPr>
        <w:t>T-25</w:t>
      </w:r>
      <w:r>
        <w:rPr>
          <w:rFonts w:ascii="Times New Roman" w:eastAsia="Times New Roman"/>
          <w:spacing w:val="-3"/>
          <w:sz w:val="24"/>
        </w:rPr>
        <w:t> </w:t>
      </w:r>
      <w:r>
        <w:rPr>
          <w:spacing w:val="-5"/>
          <w:sz w:val="24"/>
        </w:rPr>
        <w:t>培养瓶，写上细胞名称、日期，再加入 </w:t>
      </w:r>
      <w:r>
        <w:rPr>
          <w:rFonts w:ascii="Times New Roman" w:eastAsia="Times New Roman"/>
          <w:sz w:val="24"/>
        </w:rPr>
        <w:t>4ml </w:t>
      </w:r>
      <w:r>
        <w:rPr>
          <w:sz w:val="24"/>
        </w:rPr>
        <w:t>完全培养基；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228" w:after="0"/>
        <w:ind w:left="580" w:right="0" w:hanging="360"/>
        <w:jc w:val="left"/>
        <w:rPr>
          <w:rFonts w:ascii="Times New Roman" w:eastAsia="Times New Roman"/>
          <w:b/>
          <w:sz w:val="28"/>
        </w:rPr>
      </w:pPr>
      <w:r>
        <w:rPr>
          <w:spacing w:val="4"/>
          <w:w w:val="95"/>
          <w:sz w:val="24"/>
        </w:rPr>
        <w:t>离心完成后弃去上清，用 </w:t>
      </w:r>
      <w:r>
        <w:rPr>
          <w:rFonts w:ascii="Times New Roman" w:eastAsia="Times New Roman"/>
          <w:w w:val="95"/>
          <w:sz w:val="24"/>
        </w:rPr>
        <w:t>1ml</w:t>
      </w:r>
      <w:r>
        <w:rPr>
          <w:rFonts w:ascii="Times New Roman" w:eastAsia="Times New Roman"/>
          <w:spacing w:val="109"/>
          <w:sz w:val="24"/>
        </w:rPr>
        <w:t> </w:t>
      </w:r>
      <w:r>
        <w:rPr>
          <w:spacing w:val="4"/>
          <w:w w:val="95"/>
          <w:sz w:val="24"/>
        </w:rPr>
        <w:t>完全培养基重悬细胞后，转入 </w:t>
      </w:r>
      <w:r>
        <w:rPr>
          <w:rFonts w:ascii="Times New Roman" w:eastAsia="Times New Roman"/>
          <w:w w:val="95"/>
          <w:sz w:val="24"/>
        </w:rPr>
        <w:t>T-25</w:t>
      </w:r>
      <w:r>
        <w:rPr>
          <w:rFonts w:ascii="Times New Roman" w:eastAsia="Times New Roman"/>
          <w:spacing w:val="108"/>
          <w:sz w:val="24"/>
        </w:rPr>
        <w:t> </w:t>
      </w:r>
      <w:r>
        <w:rPr>
          <w:w w:val="95"/>
          <w:sz w:val="24"/>
        </w:rPr>
        <w:t>细胞培养中，混匀后转入</w:t>
      </w:r>
    </w:p>
    <w:p>
      <w:pPr>
        <w:pStyle w:val="BodyText"/>
        <w:spacing w:before="225"/>
        <w:ind w:left="580"/>
      </w:pPr>
      <w:r>
        <w:rPr>
          <w:rFonts w:ascii="Times New Roman" w:eastAsia="Times New Roman"/>
          <w:position w:val="2"/>
        </w:rPr>
        <w:t>CO</w:t>
      </w:r>
      <w:r>
        <w:rPr>
          <w:rFonts w:ascii="Times New Roman" w:eastAsia="Times New Roman"/>
          <w:sz w:val="15"/>
        </w:rPr>
        <w:t>2</w:t>
      </w:r>
      <w:r>
        <w:rPr>
          <w:rFonts w:ascii="Times New Roman" w:eastAsia="Times New Roman"/>
          <w:spacing w:val="-1"/>
          <w:sz w:val="15"/>
        </w:rPr>
        <w:t> </w:t>
      </w:r>
      <w:r>
        <w:rPr>
          <w:position w:val="2"/>
        </w:rPr>
        <w:t>培养箱中培养静置。</w:t>
      </w:r>
    </w:p>
    <w:p>
      <w:pPr>
        <w:pStyle w:val="BodyText"/>
        <w:spacing w:before="8"/>
        <w:rPr>
          <w:sz w:val="4"/>
        </w:rPr>
      </w:pPr>
      <w:r>
        <w:rPr/>
        <w:pict>
          <v:shape style="position:absolute;margin-left:51.049999pt;margin-top:4.182813pt;width:494.95pt;height:24.65pt;mso-position-horizontal-relative:page;mso-position-vertical-relative:paragraph;z-index:-15728640;mso-wrap-distance-left:0;mso-wrap-distance-right:0" type="#_x0000_t202" id="docshape7" filled="true" fillcolor="#ffff00" stroked="false">
            <v:textbox inset="0,0,0,0">
              <w:txbxContent>
                <w:p>
                  <w:pPr>
                    <w:spacing w:before="133"/>
                    <w:ind w:left="-1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w w:val="95"/>
                      <w:sz w:val="28"/>
                    </w:rPr>
                    <w:t>注意：</w:t>
                  </w:r>
                  <w:r>
                    <w:rPr>
                      <w:b/>
                      <w:color w:val="000000"/>
                      <w:w w:val="95"/>
                      <w:sz w:val="24"/>
                    </w:rPr>
                    <w:t>从液氮中取出细胞冻存管时，若冻存管内有液氮进入，需拧松冻存管，排出内部残留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1.049999pt;margin-top:35.382813pt;width:494.95pt;height:19.45pt;mso-position-horizontal-relative:page;mso-position-vertical-relative:paragraph;z-index:-15728128;mso-wrap-distance-left:0;mso-wrap-distance-right:0" type="#_x0000_t202" id="docshape8" filled="true" fillcolor="#ffff00" stroked="false">
            <v:textbox inset="0,0,0,0">
              <w:txbxContent>
                <w:p>
                  <w:pPr>
                    <w:spacing w:before="80"/>
                    <w:ind w:left="-1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w w:val="95"/>
                      <w:sz w:val="24"/>
                    </w:rPr>
                    <w:t>的液氮，之后拧紧冻存管，置于干冰上，然后放入</w:t>
                  </w:r>
                  <w:r>
                    <w:rPr>
                      <w:b/>
                      <w:color w:val="000000"/>
                      <w:spacing w:val="131"/>
                      <w:sz w:val="24"/>
                    </w:rPr>
                    <w:t> 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w w:val="95"/>
                      <w:sz w:val="24"/>
                    </w:rPr>
                    <w:t>37</w:t>
                  </w:r>
                  <w:r>
                    <w:rPr>
                      <w:b/>
                      <w:color w:val="000000"/>
                      <w:w w:val="95"/>
                      <w:sz w:val="24"/>
                    </w:rPr>
                    <w:t>℃水浴中，避免温差太大造成液氮快速气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51.049999pt;margin-top:58.745312pt;width:60.2pt;height:19.45pt;mso-position-horizontal-relative:page;mso-position-vertical-relative:paragraph;z-index:-15727616;mso-wrap-distance-left:0;mso-wrap-distance-right:0" type="#_x0000_t202" id="docshape9" filled="true" fillcolor="#ffff00" stroked="false">
            <v:textbox inset="0,0,0,0">
              <w:txbxContent>
                <w:p>
                  <w:pPr>
                    <w:spacing w:before="80"/>
                    <w:ind w:left="-1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-2"/>
                      <w:sz w:val="24"/>
                    </w:rPr>
                    <w:t>化而爆炸。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3"/>
        <w:rPr>
          <w:sz w:val="4"/>
        </w:rPr>
      </w:pPr>
    </w:p>
    <w:p>
      <w:pPr>
        <w:spacing w:after="0"/>
        <w:rPr>
          <w:sz w:val="4"/>
        </w:rPr>
        <w:sectPr>
          <w:type w:val="continuous"/>
          <w:pgSz w:w="11910" w:h="16840"/>
          <w:pgMar w:header="283" w:footer="1250" w:top="1660" w:bottom="1440" w:left="800" w:right="8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Heading2"/>
        <w:spacing w:before="66"/>
        <w:ind w:left="1482"/>
      </w:pPr>
      <w:r>
        <w:rPr/>
        <w:pict>
          <v:shape style="position:absolute;margin-left:51.049999pt;margin-top:-5.289978pt;width:35.1pt;height:24.65pt;mso-position-horizontal-relative:page;mso-position-vertical-relative:paragraph;z-index:15735296" type="#_x0000_t202" id="docshape10" filled="true" fillcolor="#00ffff" stroked="false">
            <v:textbox inset="0,0,0,0">
              <w:txbxContent>
                <w:p>
                  <w:pPr>
                    <w:spacing w:before="131"/>
                    <w:ind w:left="-1" w:right="0" w:firstLine="0"/>
                    <w:jc w:val="left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传代</w:t>
                  </w:r>
                </w:p>
              </w:txbxContent>
            </v:textbox>
            <v:fill type="solid"/>
            <w10:wrap type="none"/>
          </v:shape>
        </w:pict>
      </w:r>
      <w:r>
        <w:rPr/>
        <w:t>（细胞传代建议一传二）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0" w:after="0"/>
        <w:ind w:left="580" w:right="0" w:hanging="360"/>
        <w:jc w:val="left"/>
        <w:rPr>
          <w:sz w:val="24"/>
        </w:rPr>
      </w:pPr>
      <w:r>
        <w:rPr>
          <w:spacing w:val="-8"/>
          <w:sz w:val="24"/>
        </w:rPr>
        <w:t>当细胞汇合度达到 </w:t>
      </w:r>
      <w:r>
        <w:rPr>
          <w:rFonts w:ascii="Times New Roman" w:eastAsia="Times New Roman"/>
          <w:sz w:val="24"/>
        </w:rPr>
        <w:t>85%</w:t>
      </w:r>
      <w:r>
        <w:rPr>
          <w:sz w:val="24"/>
        </w:rPr>
        <w:t>以上时，可进行传代。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60" w:after="0"/>
        <w:ind w:left="580" w:right="0" w:hanging="360"/>
        <w:jc w:val="left"/>
        <w:rPr>
          <w:sz w:val="24"/>
        </w:rPr>
      </w:pPr>
      <w:r>
        <w:rPr>
          <w:sz w:val="24"/>
        </w:rPr>
        <w:t>在生物安全柜内，打开培养瓶瓶口，收集瓶内的培养基；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364" w:lineRule="auto" w:before="161" w:after="0"/>
        <w:ind w:left="580" w:right="215" w:hanging="360"/>
        <w:jc w:val="left"/>
        <w:rPr>
          <w:sz w:val="24"/>
        </w:rPr>
      </w:pPr>
      <w:r>
        <w:rPr>
          <w:spacing w:val="-10"/>
          <w:sz w:val="24"/>
        </w:rPr>
        <w:t>向培养瓶内加入 </w:t>
      </w:r>
      <w:r>
        <w:rPr>
          <w:rFonts w:ascii="Times New Roman" w:hAnsi="Times New Roman" w:eastAsia="Times New Roman"/>
          <w:spacing w:val="-2"/>
          <w:sz w:val="24"/>
        </w:rPr>
        <w:t>3ml </w:t>
      </w:r>
      <w:r>
        <w:rPr>
          <w:spacing w:val="-17"/>
          <w:sz w:val="24"/>
        </w:rPr>
        <w:t>无菌的 </w:t>
      </w:r>
      <w:r>
        <w:rPr>
          <w:rFonts w:ascii="Times New Roman" w:hAnsi="Times New Roman" w:eastAsia="Times New Roman"/>
          <w:spacing w:val="-2"/>
          <w:sz w:val="24"/>
        </w:rPr>
        <w:t>1×PBS</w:t>
      </w:r>
      <w:r>
        <w:rPr>
          <w:rFonts w:ascii="Times New Roman" w:hAnsi="Times New Roman" w:eastAsia="Times New Roman"/>
          <w:spacing w:val="3"/>
          <w:sz w:val="24"/>
        </w:rPr>
        <w:t> </w:t>
      </w:r>
      <w:r>
        <w:rPr>
          <w:spacing w:val="-7"/>
          <w:sz w:val="24"/>
        </w:rPr>
        <w:t>后，水平放置培养瓶，使 </w:t>
      </w:r>
      <w:r>
        <w:rPr>
          <w:rFonts w:ascii="Times New Roman" w:hAnsi="Times New Roman" w:eastAsia="Times New Roman"/>
          <w:spacing w:val="-2"/>
          <w:sz w:val="24"/>
        </w:rPr>
        <w:t>PBS</w:t>
      </w:r>
      <w:r>
        <w:rPr>
          <w:rFonts w:ascii="Times New Roman" w:hAnsi="Times New Roman" w:eastAsia="Times New Roman"/>
          <w:sz w:val="24"/>
        </w:rPr>
        <w:t> </w:t>
      </w:r>
      <w:r>
        <w:rPr>
          <w:spacing w:val="-2"/>
          <w:sz w:val="24"/>
        </w:rPr>
        <w:t>能够浸润到培养瓶底面上</w:t>
      </w:r>
      <w:r>
        <w:rPr>
          <w:spacing w:val="-7"/>
          <w:sz w:val="24"/>
        </w:rPr>
        <w:t>所有的面积，吸弃 </w:t>
      </w:r>
      <w:r>
        <w:rPr>
          <w:rFonts w:ascii="Times New Roman" w:hAnsi="Times New Roman" w:eastAsia="Times New Roman"/>
          <w:sz w:val="24"/>
        </w:rPr>
        <w:t>PBS</w:t>
      </w:r>
      <w:r>
        <w:rPr>
          <w:sz w:val="24"/>
        </w:rPr>
        <w:t>；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306" w:lineRule="exact" w:before="0" w:after="0"/>
        <w:ind w:left="580" w:right="0" w:hanging="360"/>
        <w:jc w:val="left"/>
        <w:rPr>
          <w:sz w:val="24"/>
        </w:rPr>
      </w:pPr>
      <w:r>
        <w:rPr>
          <w:spacing w:val="-7"/>
          <w:position w:val="2"/>
          <w:sz w:val="24"/>
        </w:rPr>
        <w:t>向瓶内加入消化液 </w:t>
      </w:r>
      <w:r>
        <w:rPr>
          <w:rFonts w:ascii="Times New Roman" w:hAnsi="Times New Roman" w:eastAsia="Times New Roman"/>
          <w:position w:val="2"/>
          <w:sz w:val="24"/>
        </w:rPr>
        <w:t>1ml</w:t>
      </w:r>
      <w:r>
        <w:rPr>
          <w:spacing w:val="-7"/>
          <w:position w:val="2"/>
          <w:sz w:val="24"/>
        </w:rPr>
        <w:t>，浸润底面后放入 </w:t>
      </w:r>
      <w:r>
        <w:rPr>
          <w:rFonts w:ascii="Times New Roman" w:hAnsi="Times New Roman" w:eastAsia="Times New Roman"/>
          <w:position w:val="2"/>
          <w:sz w:val="24"/>
        </w:rPr>
        <w:t>37</w:t>
      </w:r>
      <w:r>
        <w:rPr>
          <w:spacing w:val="-30"/>
          <w:position w:val="2"/>
          <w:sz w:val="24"/>
        </w:rPr>
        <w:t>℃ </w:t>
      </w:r>
      <w:r>
        <w:rPr>
          <w:rFonts w:ascii="Times New Roman" w:hAnsi="Times New Roman" w:eastAsia="Times New Roman"/>
          <w:position w:val="2"/>
          <w:sz w:val="24"/>
        </w:rPr>
        <w:t>CO</w:t>
      </w:r>
      <w:r>
        <w:rPr>
          <w:rFonts w:ascii="Times New Roman" w:hAnsi="Times New Roman" w:eastAsia="Times New Roman"/>
          <w:sz w:val="15"/>
        </w:rPr>
        <w:t>2</w:t>
      </w:r>
      <w:r>
        <w:rPr>
          <w:rFonts w:ascii="Times New Roman" w:hAnsi="Times New Roman" w:eastAsia="Times New Roman"/>
          <w:spacing w:val="-1"/>
          <w:sz w:val="15"/>
        </w:rPr>
        <w:t> </w:t>
      </w:r>
      <w:r>
        <w:rPr>
          <w:spacing w:val="-9"/>
          <w:position w:val="2"/>
          <w:sz w:val="24"/>
        </w:rPr>
        <w:t>培养箱中孵育 </w:t>
      </w:r>
      <w:r>
        <w:rPr>
          <w:rFonts w:ascii="Times New Roman" w:hAnsi="Times New Roman" w:eastAsia="Times New Roman"/>
          <w:position w:val="2"/>
          <w:sz w:val="24"/>
        </w:rPr>
        <w:t>1~2min</w:t>
      </w:r>
      <w:r>
        <w:rPr>
          <w:position w:val="2"/>
          <w:sz w:val="24"/>
        </w:rPr>
        <w:t>；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64" w:after="0"/>
        <w:ind w:left="580" w:right="0" w:hanging="360"/>
        <w:jc w:val="left"/>
        <w:rPr>
          <w:sz w:val="24"/>
        </w:rPr>
      </w:pPr>
      <w:r>
        <w:rPr>
          <w:spacing w:val="-5"/>
          <w:sz w:val="24"/>
        </w:rPr>
        <w:t>孵育完成后在倒置显微镜下观察细胞是否变圆飘起，若全部消化下来则直接向培养瓶内加入</w:t>
      </w:r>
    </w:p>
    <w:p>
      <w:pPr>
        <w:spacing w:before="160"/>
        <w:ind w:left="580" w:right="0" w:firstLine="0"/>
        <w:jc w:val="left"/>
        <w:rPr>
          <w:sz w:val="24"/>
        </w:rPr>
      </w:pPr>
      <w:r>
        <w:rPr>
          <w:rFonts w:ascii="Times New Roman" w:eastAsia="Times New Roman"/>
          <w:w w:val="95"/>
          <w:sz w:val="24"/>
        </w:rPr>
        <w:t>2ml</w:t>
      </w:r>
      <w:r>
        <w:rPr>
          <w:rFonts w:ascii="Times New Roman" w:eastAsia="Times New Roman"/>
          <w:spacing w:val="50"/>
          <w:w w:val="95"/>
          <w:sz w:val="24"/>
        </w:rPr>
        <w:t> </w:t>
      </w:r>
      <w:r>
        <w:rPr>
          <w:b/>
          <w:spacing w:val="-4"/>
          <w:w w:val="95"/>
          <w:sz w:val="24"/>
        </w:rPr>
        <w:t>含 </w:t>
      </w:r>
      <w:r>
        <w:rPr>
          <w:rFonts w:ascii="Times New Roman" w:eastAsia="Times New Roman"/>
          <w:b/>
          <w:w w:val="95"/>
          <w:sz w:val="24"/>
        </w:rPr>
        <w:t>10%FBS</w:t>
      </w:r>
      <w:r>
        <w:rPr>
          <w:rFonts w:ascii="Times New Roman" w:eastAsia="Times New Roman"/>
          <w:b/>
          <w:spacing w:val="50"/>
          <w:w w:val="95"/>
          <w:sz w:val="24"/>
        </w:rPr>
        <w:t> </w:t>
      </w:r>
      <w:r>
        <w:rPr>
          <w:b/>
          <w:w w:val="95"/>
          <w:sz w:val="24"/>
        </w:rPr>
        <w:t>的完全培养基中</w:t>
      </w:r>
      <w:r>
        <w:rPr>
          <w:spacing w:val="-1"/>
          <w:w w:val="95"/>
          <w:sz w:val="24"/>
        </w:rPr>
        <w:t>，将悬液吸入 </w:t>
      </w:r>
      <w:r>
        <w:rPr>
          <w:rFonts w:ascii="Times New Roman" w:eastAsia="Times New Roman"/>
          <w:w w:val="95"/>
          <w:sz w:val="24"/>
        </w:rPr>
        <w:t>15ml</w:t>
      </w:r>
      <w:r>
        <w:rPr>
          <w:rFonts w:ascii="Times New Roman" w:eastAsia="Times New Roman"/>
          <w:spacing w:val="50"/>
          <w:w w:val="95"/>
          <w:sz w:val="24"/>
        </w:rPr>
        <w:t> </w:t>
      </w:r>
      <w:r>
        <w:rPr>
          <w:w w:val="95"/>
          <w:sz w:val="24"/>
        </w:rPr>
        <w:t>离心管；</w:t>
      </w:r>
    </w:p>
    <w:p>
      <w:pPr>
        <w:pStyle w:val="BodyText"/>
        <w:spacing w:before="5"/>
        <w:rPr>
          <w:sz w:val="4"/>
        </w:rPr>
      </w:pPr>
      <w:r>
        <w:rPr/>
        <w:pict>
          <v:shape style="position:absolute;margin-left:51.049999pt;margin-top:4.016882pt;width:276.05pt;height:19.45pt;mso-position-horizontal-relative:page;mso-position-vertical-relative:paragraph;z-index:-15726080;mso-wrap-distance-left:0;mso-wrap-distance-right:0" type="#_x0000_t202" id="docshape11" filled="true" fillcolor="#ffff00" stroked="false">
            <v:textbox inset="0,0,0,0">
              <w:txbxContent>
                <w:p>
                  <w:pPr>
                    <w:pStyle w:val="BodyText"/>
                    <w:spacing w:before="80"/>
                    <w:ind w:left="-1" w:right="-15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注：</w:t>
                  </w:r>
                  <w:r>
                    <w:rPr>
                      <w:color w:val="000000"/>
                    </w:rPr>
                    <w:t>如还有部分细胞未消化下来，可采用分步消化：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63pt;margin-top:27.416882pt;width:378.55pt;height:19.45pt;mso-position-horizontal-relative:page;mso-position-vertical-relative:paragraph;z-index:-15725568;mso-wrap-distance-left:0;mso-wrap-distance-right:0" type="#_x0000_t202" id="docshape12" filled="true" fillcolor="#ffff00" stroked="false">
            <v:textbox inset="0,0,0,0">
              <w:txbxContent>
                <w:p>
                  <w:pPr>
                    <w:spacing w:before="80"/>
                    <w:ind w:left="0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pacing w:val="42"/>
                      <w:w w:val="95"/>
                      <w:sz w:val="24"/>
                    </w:rPr>
                    <w:t>① </w:t>
                  </w:r>
                  <w:r>
                    <w:rPr>
                      <w:color w:val="000000"/>
                      <w:spacing w:val="-2"/>
                      <w:w w:val="95"/>
                      <w:sz w:val="24"/>
                    </w:rPr>
                    <w:t>准备一个无菌的 </w:t>
                  </w:r>
                  <w:r>
                    <w:rPr>
                      <w:rFonts w:ascii="Times New Roman" w:hAnsi="Times New Roman" w:eastAsia="Times New Roman"/>
                      <w:color w:val="000000"/>
                      <w:w w:val="95"/>
                      <w:sz w:val="24"/>
                    </w:rPr>
                    <w:t>15ml</w:t>
                  </w:r>
                  <w:r>
                    <w:rPr>
                      <w:rFonts w:ascii="Times New Roman" w:hAnsi="Times New Roman" w:eastAsia="Times New Roman"/>
                      <w:color w:val="000000"/>
                      <w:spacing w:val="43"/>
                      <w:w w:val="95"/>
                      <w:sz w:val="24"/>
                    </w:rPr>
                    <w:t> </w:t>
                  </w:r>
                  <w:r>
                    <w:rPr>
                      <w:color w:val="000000"/>
                      <w:w w:val="95"/>
                      <w:sz w:val="24"/>
                    </w:rPr>
                    <w:t>离心管，</w:t>
                  </w:r>
                  <w:r>
                    <w:rPr>
                      <w:b/>
                      <w:color w:val="000000"/>
                      <w:spacing w:val="-4"/>
                      <w:w w:val="95"/>
                      <w:sz w:val="24"/>
                    </w:rPr>
                    <w:t>加入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w w:val="95"/>
                      <w:sz w:val="24"/>
                    </w:rPr>
                    <w:t>2ml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pacing w:val="43"/>
                      <w:w w:val="95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-8"/>
                      <w:w w:val="95"/>
                      <w:sz w:val="24"/>
                    </w:rPr>
                    <w:t>含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w w:val="95"/>
                      <w:sz w:val="24"/>
                    </w:rPr>
                    <w:t>10%FBS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pacing w:val="43"/>
                      <w:w w:val="95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24"/>
                    </w:rPr>
                    <w:t>的完全培养基；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63pt;margin-top:50.816883pt;width:324.4pt;height:19.45pt;mso-position-horizontal-relative:page;mso-position-vertical-relative:paragraph;z-index:-15725056;mso-wrap-distance-left:0;mso-wrap-distance-right:0" type="#_x0000_t202" id="docshape13" filled="true" fillcolor="#ffff00" stroked="false">
            <v:textbox inset="0,0,0,0">
              <w:txbxContent>
                <w:p>
                  <w:pPr>
                    <w:spacing w:before="80"/>
                    <w:ind w:left="0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w w:val="99"/>
                      <w:sz w:val="24"/>
                    </w:rPr>
                    <w:t>②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color w:val="000000"/>
                      <w:sz w:val="24"/>
                    </w:rPr>
                    <w:t>将消化下来的细胞吸入</w:t>
                  </w:r>
                  <w:r>
                    <w:rPr>
                      <w:b/>
                      <w:color w:val="000000"/>
                      <w:spacing w:val="2"/>
                      <w:w w:val="99"/>
                      <w:sz w:val="24"/>
                    </w:rPr>
                    <w:t>①</w:t>
                  </w:r>
                  <w:r>
                    <w:rPr>
                      <w:color w:val="000000"/>
                      <w:sz w:val="24"/>
                    </w:rPr>
                    <w:t>中的离心管内中和</w:t>
                  </w:r>
                  <w:r>
                    <w:rPr>
                      <w:b/>
                      <w:color w:val="000000"/>
                      <w:w w:val="99"/>
                      <w:sz w:val="24"/>
                    </w:rPr>
                    <w:t>（避免吹打</w:t>
                  </w:r>
                  <w:r>
                    <w:rPr>
                      <w:b/>
                      <w:color w:val="000000"/>
                      <w:spacing w:val="-129"/>
                      <w:w w:val="99"/>
                      <w:sz w:val="24"/>
                    </w:rPr>
                    <w:t>）</w:t>
                  </w:r>
                  <w:r>
                    <w:rPr>
                      <w:b/>
                      <w:color w:val="000000"/>
                      <w:spacing w:val="-9"/>
                      <w:w w:val="99"/>
                      <w:sz w:val="24"/>
                    </w:rPr>
                    <w:t>；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63pt;margin-top:74.216881pt;width:481.45pt;height:19.45pt;mso-position-horizontal-relative:page;mso-position-vertical-relative:paragraph;z-index:-15724544;mso-wrap-distance-left:0;mso-wrap-distance-right:0" type="#_x0000_t202" id="docshape14" filled="true" fillcolor="#ffff00" stroked="false">
            <v:textbox inset="0,0,0,0">
              <w:txbxContent>
                <w:p>
                  <w:pPr>
                    <w:pStyle w:val="BodyText"/>
                    <w:spacing w:before="80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  <w:spacing w:val="2"/>
                    </w:rPr>
                    <w:t>③ </w:t>
                  </w:r>
                  <w:r>
                    <w:rPr>
                      <w:color w:val="000000"/>
                      <w:spacing w:val="-5"/>
                    </w:rPr>
                    <w:t>向之前消化的培养瓶中加入 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  <w:t>1ml</w:t>
                  </w:r>
                  <w:r>
                    <w:rPr>
                      <w:rFonts w:ascii="Times New Roman" w:hAnsi="Times New Roman" w:eastAsia="Times New Roman"/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  <w:spacing w:val="-8"/>
                    </w:rPr>
                    <w:t>胰酶继续消化 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  <w:t>2min</w:t>
                  </w:r>
                  <w:r>
                    <w:rPr>
                      <w:rFonts w:ascii="Times New Roman" w:hAnsi="Times New Roman" w:eastAsia="Times New Roman"/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左右，轻拍培养瓶，</w:t>
                  </w:r>
                  <w:r>
                    <w:rPr>
                      <w:rFonts w:ascii="Times New Roman" w:hAnsi="Times New Roman" w:eastAsia="Times New Roman"/>
                      <w:color w:val="000000"/>
                    </w:rPr>
                    <w:t>95%</w:t>
                  </w:r>
                  <w:r>
                    <w:rPr>
                      <w:color w:val="000000"/>
                    </w:rPr>
                    <w:t>左右细胞脱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4"/>
        </w:r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before="3"/>
        <w:rPr>
          <w:sz w:val="7"/>
        </w:rPr>
      </w:pPr>
    </w:p>
    <w:p>
      <w:pPr>
        <w:spacing w:before="67"/>
        <w:ind w:left="0" w:right="353" w:firstLine="0"/>
        <w:jc w:val="right"/>
        <w:rPr>
          <w:b/>
          <w:sz w:val="24"/>
        </w:rPr>
      </w:pPr>
      <w:r>
        <w:rPr/>
        <w:pict>
          <v:shape style="position:absolute;margin-left:75pt;margin-top:-.679987pt;width:450.6pt;height:19.45pt;mso-position-horizontal-relative:page;mso-position-vertical-relative:paragraph;z-index:15734784" type="#_x0000_t202" id="docshape15" filled="true" fillcolor="#ffff00" stroked="false">
            <v:textbox inset="0,0,0,0">
              <w:txbxContent>
                <w:p>
                  <w:pPr>
                    <w:spacing w:before="80"/>
                    <w:ind w:left="0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color w:val="000000"/>
                      <w:spacing w:val="10"/>
                      <w:w w:val="95"/>
                      <w:sz w:val="24"/>
                    </w:rPr>
                    <w:t>落后加入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w w:val="95"/>
                      <w:sz w:val="24"/>
                    </w:rPr>
                    <w:t>2ml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pacing w:val="105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pacing w:val="24"/>
                      <w:w w:val="95"/>
                      <w:sz w:val="24"/>
                    </w:rPr>
                    <w:t>含 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w w:val="95"/>
                      <w:sz w:val="24"/>
                    </w:rPr>
                    <w:t>10%FBS</w:t>
                  </w:r>
                  <w:r>
                    <w:rPr>
                      <w:rFonts w:ascii="Times New Roman" w:hAnsi="Times New Roman" w:eastAsia="Times New Roman"/>
                      <w:b/>
                      <w:color w:val="000000"/>
                      <w:spacing w:val="105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24"/>
                    </w:rPr>
                    <w:t>的完全培养基中和，中和后的细胞悬液移入①中的离心管内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w w:val="99"/>
          <w:sz w:val="24"/>
        </w:rPr>
        <w:t>。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60" w:after="0"/>
        <w:ind w:left="580" w:right="0" w:hanging="360"/>
        <w:jc w:val="left"/>
        <w:rPr>
          <w:sz w:val="24"/>
        </w:rPr>
      </w:pPr>
      <w:r>
        <w:rPr>
          <w:rFonts w:ascii="Times New Roman" w:eastAsia="Times New Roman"/>
          <w:spacing w:val="-1"/>
          <w:sz w:val="24"/>
        </w:rPr>
        <w:t>1000rpm</w:t>
      </w:r>
      <w:r>
        <w:rPr>
          <w:rFonts w:ascii="Times New Roman" w:eastAsia="Times New Roman"/>
          <w:spacing w:val="1"/>
          <w:sz w:val="24"/>
        </w:rPr>
        <w:t> </w:t>
      </w:r>
      <w:r>
        <w:rPr>
          <w:spacing w:val="-20"/>
          <w:sz w:val="24"/>
        </w:rPr>
        <w:t>离心 </w:t>
      </w:r>
      <w:r>
        <w:rPr>
          <w:rFonts w:ascii="Times New Roman" w:eastAsia="Times New Roman"/>
          <w:sz w:val="24"/>
        </w:rPr>
        <w:t>5min</w:t>
      </w:r>
      <w:r>
        <w:rPr>
          <w:sz w:val="24"/>
        </w:rPr>
        <w:t>；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161" w:after="0"/>
        <w:ind w:left="580" w:right="0" w:hanging="360"/>
        <w:jc w:val="left"/>
        <w:rPr>
          <w:sz w:val="24"/>
        </w:rPr>
      </w:pPr>
      <w:r>
        <w:rPr>
          <w:spacing w:val="-10"/>
          <w:sz w:val="24"/>
        </w:rPr>
        <w:t>准备两个新的 </w:t>
      </w:r>
      <w:r>
        <w:rPr>
          <w:rFonts w:ascii="Times New Roman" w:eastAsia="Times New Roman"/>
          <w:spacing w:val="-1"/>
          <w:sz w:val="24"/>
        </w:rPr>
        <w:t>T-25</w:t>
      </w:r>
      <w:r>
        <w:rPr>
          <w:rFonts w:ascii="Times New Roman" w:eastAsia="Times New Roman"/>
          <w:spacing w:val="-3"/>
          <w:sz w:val="24"/>
        </w:rPr>
        <w:t> </w:t>
      </w:r>
      <w:r>
        <w:rPr>
          <w:spacing w:val="-9"/>
          <w:sz w:val="24"/>
        </w:rPr>
        <w:t>培养瓶，各加入 </w:t>
      </w:r>
      <w:r>
        <w:rPr>
          <w:rFonts w:ascii="Times New Roman" w:eastAsia="Times New Roman"/>
          <w:spacing w:val="-1"/>
          <w:sz w:val="24"/>
        </w:rPr>
        <w:t>4ml</w:t>
      </w:r>
      <w:r>
        <w:rPr>
          <w:rFonts w:ascii="Times New Roman" w:eastAsia="Times New Roman"/>
          <w:sz w:val="24"/>
        </w:rPr>
        <w:t> </w:t>
      </w:r>
      <w:r>
        <w:rPr>
          <w:spacing w:val="-1"/>
          <w:sz w:val="24"/>
        </w:rPr>
        <w:t>完全培养基。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364" w:lineRule="auto" w:before="160" w:after="0"/>
        <w:ind w:left="580" w:right="217" w:hanging="360"/>
        <w:jc w:val="left"/>
        <w:rPr>
          <w:sz w:val="24"/>
        </w:rPr>
      </w:pPr>
      <w:r>
        <w:rPr>
          <w:spacing w:val="-5"/>
          <w:sz w:val="24"/>
        </w:rPr>
        <w:t>离心完成后，弃上清，用 </w:t>
      </w:r>
      <w:r>
        <w:rPr>
          <w:rFonts w:ascii="Times New Roman" w:eastAsia="Times New Roman"/>
          <w:sz w:val="24"/>
        </w:rPr>
        <w:t>2ml</w:t>
      </w:r>
      <w:r>
        <w:rPr>
          <w:rFonts w:ascii="Times New Roman" w:eastAsia="Times New Roman"/>
          <w:spacing w:val="2"/>
          <w:sz w:val="24"/>
        </w:rPr>
        <w:t> </w:t>
      </w:r>
      <w:r>
        <w:rPr>
          <w:spacing w:val="-3"/>
          <w:sz w:val="24"/>
        </w:rPr>
        <w:t>完全培养基重悬离心细胞，将重悬后的细胞转入 </w:t>
      </w:r>
      <w:r>
        <w:rPr>
          <w:rFonts w:ascii="Times New Roman" w:eastAsia="Times New Roman"/>
          <w:sz w:val="24"/>
        </w:rPr>
        <w:t>2</w:t>
      </w:r>
      <w:r>
        <w:rPr>
          <w:rFonts w:ascii="Times New Roman" w:eastAsia="Times New Roman"/>
          <w:spacing w:val="2"/>
          <w:sz w:val="24"/>
        </w:rPr>
        <w:t> </w:t>
      </w:r>
      <w:r>
        <w:rPr>
          <w:spacing w:val="-28"/>
          <w:sz w:val="24"/>
        </w:rPr>
        <w:t>个 </w:t>
      </w:r>
      <w:r>
        <w:rPr>
          <w:rFonts w:ascii="Times New Roman" w:eastAsia="Times New Roman"/>
          <w:sz w:val="24"/>
        </w:rPr>
        <w:t>T-25</w:t>
      </w:r>
      <w:r>
        <w:rPr>
          <w:rFonts w:ascii="Times New Roman" w:eastAsia="Times New Roman"/>
          <w:spacing w:val="-1"/>
          <w:sz w:val="24"/>
        </w:rPr>
        <w:t> </w:t>
      </w:r>
      <w:r>
        <w:rPr>
          <w:sz w:val="24"/>
        </w:rPr>
        <w:t>培</w:t>
      </w:r>
      <w:r>
        <w:rPr>
          <w:spacing w:val="-6"/>
          <w:sz w:val="24"/>
        </w:rPr>
        <w:t>养瓶，每个培养瓶各 </w:t>
      </w:r>
      <w:r>
        <w:rPr>
          <w:rFonts w:ascii="Times New Roman" w:eastAsia="Times New Roman"/>
          <w:sz w:val="24"/>
        </w:rPr>
        <w:t>1ml</w:t>
      </w:r>
      <w:r>
        <w:rPr>
          <w:sz w:val="24"/>
        </w:rPr>
        <w:t>；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305" w:lineRule="exact" w:before="0" w:after="0"/>
        <w:ind w:left="580" w:right="0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648334</wp:posOffset>
            </wp:positionH>
            <wp:positionV relativeFrom="paragraph">
              <wp:posOffset>246761</wp:posOffset>
            </wp:positionV>
            <wp:extent cx="356870" cy="313054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1.049999pt;margin-top:19.43pt;width:28.1pt;height:24.65pt;mso-position-horizontal-relative:page;mso-position-vertical-relative:paragraph;z-index:15733760" type="#_x0000_t202" id="docshape16" filled="false" stroked="false">
            <v:textbox inset="0,0,0,0">
              <w:txbxContent>
                <w:p>
                  <w:pPr>
                    <w:spacing w:before="132"/>
                    <w:ind w:left="-1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3"/>
                      <w:sz w:val="28"/>
                    </w:rPr>
                    <w:t>冻存</w:t>
                  </w:r>
                </w:p>
              </w:txbxContent>
            </v:textbox>
            <w10:wrap type="none"/>
          </v:shape>
        </w:pict>
      </w:r>
      <w:r>
        <w:rPr>
          <w:spacing w:val="-3"/>
          <w:position w:val="2"/>
          <w:sz w:val="24"/>
        </w:rPr>
        <w:t>水平放置培养瓶，震荡混匀后，将培养瓶置于 </w:t>
      </w:r>
      <w:r>
        <w:rPr>
          <w:rFonts w:ascii="Times New Roman" w:hAnsi="Times New Roman" w:eastAsia="Times New Roman"/>
          <w:position w:val="2"/>
          <w:sz w:val="24"/>
        </w:rPr>
        <w:t>37</w:t>
      </w:r>
      <w:r>
        <w:rPr>
          <w:position w:val="2"/>
          <w:sz w:val="24"/>
        </w:rPr>
        <w:t>℃，</w:t>
      </w:r>
      <w:r>
        <w:rPr>
          <w:rFonts w:ascii="Times New Roman" w:hAnsi="Times New Roman" w:eastAsia="Times New Roman"/>
          <w:position w:val="2"/>
          <w:sz w:val="24"/>
        </w:rPr>
        <w:t>5%CO</w:t>
      </w:r>
      <w:r>
        <w:rPr>
          <w:rFonts w:ascii="Times New Roman" w:hAnsi="Times New Roman" w:eastAsia="Times New Roman"/>
          <w:sz w:val="15"/>
        </w:rPr>
        <w:t>2</w:t>
      </w:r>
      <w:r>
        <w:rPr>
          <w:rFonts w:ascii="Times New Roman" w:hAnsi="Times New Roman" w:eastAsia="Times New Roman"/>
          <w:spacing w:val="3"/>
          <w:sz w:val="15"/>
        </w:rPr>
        <w:t> </w:t>
      </w:r>
      <w:r>
        <w:rPr>
          <w:position w:val="2"/>
          <w:sz w:val="24"/>
        </w:rPr>
        <w:t>培养箱中静置培养。</w:t>
      </w:r>
    </w:p>
    <w:p>
      <w:pPr>
        <w:pStyle w:val="BodyText"/>
        <w:spacing w:before="11"/>
        <w:rPr>
          <w:sz w:val="19"/>
        </w:rPr>
      </w:pPr>
    </w:p>
    <w:p>
      <w:pPr>
        <w:pStyle w:val="Heading2"/>
        <w:spacing w:before="1"/>
        <w:ind w:left="1204"/>
      </w:pPr>
      <w:r>
        <w:rPr>
          <w:w w:val="95"/>
        </w:rPr>
        <w:t>（</w:t>
      </w:r>
      <w:r>
        <w:rPr>
          <w:spacing w:val="-1"/>
          <w:w w:val="95"/>
        </w:rPr>
        <w:t>细胞冻存建议每瓶 </w:t>
      </w:r>
      <w:r>
        <w:rPr>
          <w:rFonts w:ascii="Times New Roman" w:eastAsia="Times New Roman"/>
          <w:w w:val="95"/>
        </w:rPr>
        <w:t>T25</w:t>
      </w:r>
      <w:r>
        <w:rPr>
          <w:rFonts w:ascii="Times New Roman" w:eastAsia="Times New Roman"/>
          <w:spacing w:val="55"/>
          <w:w w:val="95"/>
        </w:rPr>
        <w:t> </w:t>
      </w:r>
      <w:r>
        <w:rPr>
          <w:w w:val="95"/>
        </w:rPr>
        <w:t>冻一支）</w:t>
      </w:r>
    </w:p>
    <w:p>
      <w:pPr>
        <w:pStyle w:val="BodyText"/>
        <w:spacing w:before="225"/>
        <w:ind w:left="220"/>
      </w:pPr>
      <w:r>
        <w:rPr>
          <w:rFonts w:ascii="Times New Roman" w:eastAsia="Times New Roman"/>
        </w:rPr>
        <w:t>1</w:t>
      </w:r>
      <w:r>
        <w:rPr/>
        <w:t>）</w:t>
      </w:r>
      <w:r>
        <w:rPr>
          <w:rFonts w:ascii="Times New Roman" w:eastAsia="Times New Roman"/>
        </w:rPr>
        <w:t>~6</w:t>
      </w:r>
      <w:r>
        <w:rPr/>
        <w:t>）参照传代步骤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160" w:after="0"/>
        <w:ind w:left="581" w:right="0" w:hanging="361"/>
        <w:jc w:val="left"/>
        <w:rPr>
          <w:sz w:val="24"/>
        </w:rPr>
      </w:pPr>
      <w:r>
        <w:rPr>
          <w:spacing w:val="3"/>
          <w:w w:val="95"/>
          <w:sz w:val="24"/>
        </w:rPr>
        <w:t>离心完成后，弃上清，用 </w:t>
      </w:r>
      <w:r>
        <w:rPr>
          <w:rFonts w:ascii="Times New Roman" w:eastAsia="Times New Roman"/>
          <w:w w:val="95"/>
          <w:sz w:val="24"/>
        </w:rPr>
        <w:t>1mL</w:t>
      </w:r>
      <w:r>
        <w:rPr>
          <w:rFonts w:ascii="Times New Roman" w:eastAsia="Times New Roman"/>
          <w:spacing w:val="101"/>
          <w:sz w:val="24"/>
        </w:rPr>
        <w:t> </w:t>
      </w:r>
      <w:r>
        <w:rPr>
          <w:spacing w:val="3"/>
          <w:w w:val="95"/>
          <w:sz w:val="24"/>
        </w:rPr>
        <w:t>冻存液重悬细胞沉淀，然后转入 </w:t>
      </w:r>
      <w:r>
        <w:rPr>
          <w:rFonts w:ascii="Times New Roman" w:eastAsia="Times New Roman"/>
          <w:w w:val="95"/>
          <w:sz w:val="24"/>
        </w:rPr>
        <w:t>1.8ml</w:t>
      </w:r>
      <w:r>
        <w:rPr>
          <w:rFonts w:ascii="Times New Roman" w:eastAsia="Times New Roman"/>
          <w:spacing w:val="102"/>
          <w:sz w:val="24"/>
        </w:rPr>
        <w:t> </w:t>
      </w:r>
      <w:r>
        <w:rPr>
          <w:w w:val="95"/>
          <w:sz w:val="24"/>
        </w:rPr>
        <w:t>冻存管中；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161" w:after="0"/>
        <w:ind w:left="581" w:right="0" w:hanging="361"/>
        <w:jc w:val="left"/>
        <w:rPr>
          <w:sz w:val="24"/>
        </w:rPr>
      </w:pPr>
      <w:r>
        <w:rPr>
          <w:spacing w:val="-1"/>
          <w:sz w:val="24"/>
        </w:rPr>
        <w:t>将冻存管转入填充满异丙醇的程序降温盒中，之后转入</w:t>
      </w:r>
      <w:r>
        <w:rPr>
          <w:rFonts w:ascii="Times New Roman" w:hAnsi="Times New Roman" w:eastAsia="Times New Roman"/>
          <w:sz w:val="24"/>
        </w:rPr>
        <w:t>-80</w:t>
      </w:r>
      <w:r>
        <w:rPr>
          <w:sz w:val="24"/>
        </w:rPr>
        <w:t>℃冰箱中过夜降温；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160" w:after="0"/>
        <w:ind w:left="581" w:right="0" w:hanging="361"/>
        <w:jc w:val="left"/>
        <w:rPr>
          <w:sz w:val="24"/>
        </w:rPr>
      </w:pPr>
      <w:r>
        <w:rPr>
          <w:sz w:val="24"/>
        </w:rPr>
        <w:t>第二天，取出降温完成的序降温盒中的冻存管，尽快转入液氮罐中保存。</w:t>
      </w:r>
    </w:p>
    <w:p>
      <w:pPr>
        <w:pStyle w:val="BodyText"/>
        <w:rPr>
          <w:sz w:val="26"/>
        </w:rPr>
      </w:pPr>
    </w:p>
    <w:p>
      <w:pPr>
        <w:pStyle w:val="Heading1"/>
        <w:spacing w:before="191"/>
        <w:ind w:left="283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1007792</wp:posOffset>
            </wp:positionH>
            <wp:positionV relativeFrom="paragraph">
              <wp:posOffset>161432</wp:posOffset>
            </wp:positionV>
            <wp:extent cx="972978" cy="964406"/>
            <wp:effectExtent l="0" t="0" r="0" b="0"/>
            <wp:wrapNone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978" cy="96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赛百慷（上海）生物技术股份有限公司</w:t>
      </w:r>
    </w:p>
    <w:p>
      <w:pPr>
        <w:spacing w:before="155"/>
        <w:ind w:left="2910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注册地址：中国（上海）</w:t>
      </w:r>
      <w:r>
        <w:rPr>
          <w:b/>
          <w:spacing w:val="-1"/>
          <w:w w:val="95"/>
          <w:sz w:val="21"/>
        </w:rPr>
        <w:t>自由贸易试验区希雅路 </w:t>
      </w:r>
      <w:r>
        <w:rPr>
          <w:rFonts w:ascii="Times New Roman" w:eastAsia="Times New Roman"/>
          <w:b/>
          <w:w w:val="95"/>
          <w:sz w:val="21"/>
        </w:rPr>
        <w:t>11</w:t>
      </w:r>
      <w:r>
        <w:rPr>
          <w:rFonts w:ascii="Times New Roman" w:eastAsia="Times New Roman"/>
          <w:b/>
          <w:spacing w:val="45"/>
          <w:w w:val="95"/>
          <w:sz w:val="21"/>
        </w:rPr>
        <w:t> </w:t>
      </w:r>
      <w:r>
        <w:rPr>
          <w:b/>
          <w:w w:val="95"/>
          <w:sz w:val="21"/>
        </w:rPr>
        <w:t>号 </w:t>
      </w:r>
      <w:r>
        <w:rPr>
          <w:rFonts w:ascii="Times New Roman" w:eastAsia="Times New Roman"/>
          <w:b/>
          <w:w w:val="95"/>
          <w:sz w:val="21"/>
        </w:rPr>
        <w:t>14</w:t>
      </w:r>
      <w:r>
        <w:rPr>
          <w:rFonts w:ascii="Times New Roman" w:eastAsia="Times New Roman"/>
          <w:b/>
          <w:spacing w:val="45"/>
          <w:w w:val="95"/>
          <w:sz w:val="21"/>
        </w:rPr>
        <w:t> </w:t>
      </w:r>
      <w:r>
        <w:rPr>
          <w:b/>
          <w:w w:val="95"/>
          <w:sz w:val="21"/>
        </w:rPr>
        <w:t>号楼 </w:t>
      </w:r>
      <w:r>
        <w:rPr>
          <w:rFonts w:ascii="Times New Roman" w:eastAsia="Times New Roman"/>
          <w:b/>
          <w:w w:val="95"/>
          <w:sz w:val="21"/>
        </w:rPr>
        <w:t>4</w:t>
      </w:r>
      <w:r>
        <w:rPr>
          <w:rFonts w:ascii="Times New Roman" w:eastAsia="Times New Roman"/>
          <w:b/>
          <w:spacing w:val="49"/>
          <w:w w:val="95"/>
          <w:sz w:val="21"/>
        </w:rPr>
        <w:t> </w:t>
      </w:r>
      <w:r>
        <w:rPr>
          <w:b/>
          <w:w w:val="95"/>
          <w:sz w:val="21"/>
        </w:rPr>
        <w:t>楼</w:t>
      </w:r>
    </w:p>
    <w:p>
      <w:pPr>
        <w:spacing w:line="285" w:lineRule="auto" w:before="67"/>
        <w:ind w:left="2864" w:right="2808" w:firstLine="0"/>
        <w:jc w:val="left"/>
        <w:rPr>
          <w:rFonts w:ascii="Times New Roman" w:eastAsia="Times New Roman"/>
          <w:b/>
          <w:sz w:val="21"/>
        </w:rPr>
      </w:pPr>
      <w:r>
        <w:rPr>
          <w:b/>
          <w:spacing w:val="-2"/>
          <w:w w:val="95"/>
          <w:sz w:val="21"/>
        </w:rPr>
        <w:t>办公地址：上海市徐汇区银都路 </w:t>
      </w:r>
      <w:r>
        <w:rPr>
          <w:rFonts w:ascii="Times New Roman" w:eastAsia="Times New Roman"/>
          <w:b/>
          <w:w w:val="95"/>
          <w:sz w:val="21"/>
        </w:rPr>
        <w:t>466</w:t>
      </w:r>
      <w:r>
        <w:rPr>
          <w:rFonts w:ascii="Times New Roman" w:eastAsia="Times New Roman"/>
          <w:b/>
          <w:spacing w:val="31"/>
          <w:w w:val="95"/>
          <w:sz w:val="21"/>
        </w:rPr>
        <w:t> </w:t>
      </w:r>
      <w:r>
        <w:rPr>
          <w:b/>
          <w:spacing w:val="-8"/>
          <w:w w:val="95"/>
          <w:sz w:val="21"/>
        </w:rPr>
        <w:t>号 </w:t>
      </w:r>
      <w:r>
        <w:rPr>
          <w:rFonts w:ascii="Times New Roman" w:eastAsia="Times New Roman"/>
          <w:b/>
          <w:w w:val="95"/>
          <w:sz w:val="21"/>
        </w:rPr>
        <w:t>3</w:t>
      </w:r>
      <w:r>
        <w:rPr>
          <w:rFonts w:ascii="Times New Roman" w:eastAsia="Times New Roman"/>
          <w:b/>
          <w:spacing w:val="30"/>
          <w:w w:val="95"/>
          <w:sz w:val="21"/>
        </w:rPr>
        <w:t> </w:t>
      </w:r>
      <w:r>
        <w:rPr>
          <w:b/>
          <w:spacing w:val="-5"/>
          <w:w w:val="95"/>
          <w:sz w:val="21"/>
        </w:rPr>
        <w:t>号楼 </w:t>
      </w:r>
      <w:r>
        <w:rPr>
          <w:rFonts w:ascii="Times New Roman" w:eastAsia="Times New Roman"/>
          <w:b/>
          <w:w w:val="95"/>
          <w:sz w:val="21"/>
        </w:rPr>
        <w:t>2</w:t>
      </w:r>
      <w:r>
        <w:rPr>
          <w:rFonts w:ascii="Times New Roman" w:eastAsia="Times New Roman"/>
          <w:b/>
          <w:spacing w:val="30"/>
          <w:w w:val="95"/>
          <w:sz w:val="21"/>
        </w:rPr>
        <w:t> </w:t>
      </w:r>
      <w:r>
        <w:rPr>
          <w:b/>
          <w:w w:val="95"/>
          <w:sz w:val="21"/>
        </w:rPr>
        <w:t>楼</w:t>
      </w:r>
      <w:r>
        <w:rPr>
          <w:b/>
          <w:sz w:val="21"/>
        </w:rPr>
        <w:t>电话：</w:t>
      </w:r>
      <w:r>
        <w:rPr>
          <w:rFonts w:ascii="Times New Roman" w:eastAsia="Times New Roman"/>
          <w:b/>
          <w:sz w:val="21"/>
        </w:rPr>
        <w:t>400-021-2021</w:t>
      </w:r>
    </w:p>
    <w:p>
      <w:pPr>
        <w:spacing w:before="1"/>
        <w:ind w:left="2864" w:right="0" w:firstLine="0"/>
        <w:jc w:val="left"/>
        <w:rPr>
          <w:rFonts w:ascii="Times New Roman" w:eastAsia="Times New Roman"/>
          <w:b/>
          <w:sz w:val="21"/>
        </w:rPr>
      </w:pPr>
      <w:r>
        <w:rPr>
          <w:b/>
          <w:w w:val="95"/>
          <w:sz w:val="21"/>
        </w:rPr>
        <w:t>网址：</w:t>
      </w:r>
      <w:hyperlink r:id="rId9">
        <w:r>
          <w:rPr>
            <w:rFonts w:ascii="Times New Roman" w:eastAsia="Times New Roman"/>
            <w:b/>
            <w:w w:val="95"/>
            <w:sz w:val="21"/>
          </w:rPr>
          <w:t>www.icellbioscience.com</w:t>
        </w:r>
      </w:hyperlink>
    </w:p>
    <w:sectPr>
      <w:pgSz w:w="11910" w:h="16840"/>
      <w:pgMar w:header="283" w:footer="1250" w:top="1660" w:bottom="144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2.519989pt;margin-top:767.817871pt;width:34.3pt;height:13.6pt;mso-position-horizontal-relative:page;mso-position-vertical-relative:page;z-index:-15853568" type="#_x0000_t202" id="docshape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eastAsia="Times New Roman"/>
                    <w:spacing w:val="40"/>
                    <w:sz w:val="21"/>
                  </w:rPr>
                  <w:t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  <w:r>
      <w:rPr/>
      <w:pict>
        <v:shape style="position:absolute;margin-left:299.239990pt;margin-top:769.109985pt;width:33.6pt;height:12pt;mso-position-horizontal-relative:page;mso-position-vertical-relative:page;z-index:-15853056" type="#_x0000_t202" id="docshape4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共 </w:t>
                </w:r>
                <w:r>
                  <w:rPr>
                    <w:rFonts w:ascii="Times New Roman" w:eastAsia="Times New Roman"/>
                    <w:sz w:val="18"/>
                  </w:rPr>
                  <w:t>2</w:t>
                </w:r>
                <w:r>
                  <w:rPr>
                    <w:rFonts w:ascii="Times New Roman" w:eastAsia="Times New Roman"/>
                    <w:spacing w:val="45"/>
                    <w:sz w:val="18"/>
                  </w:rPr>
                  <w:t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type="none"/>
        </v:shape>
      </w:pict>
    </w:r>
    <w:r>
      <w:rPr/>
      <w:pict>
        <v:shape style="position:absolute;margin-left:81.558998pt;margin-top:767.817871pt;width:384pt;height:24.4pt;mso-position-horizontal-relative:page;mso-position-vertical-relative:page;z-index:-15852544" type="#_x0000_t202" id="docshape5" filled="false" stroked="false">
          <v:textbox inset="0,0,0,0">
            <w:txbxContent>
              <w:p>
                <w:pPr>
                  <w:pStyle w:val="BodyText"/>
                  <w:rPr>
                    <w:rFonts w:ascii="Times New Roman"/>
                    <w:sz w:val="19"/>
                  </w:rPr>
                </w:pPr>
              </w:p>
              <w:p>
                <w:pPr>
                  <w:spacing w:line="268" w:lineRule="exact" w:before="1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00FF"/>
                    <w:w w:val="95"/>
                    <w:sz w:val="21"/>
                  </w:rPr>
                  <w:t>赛百慷（上海）生物技术股份有限公司</w:t>
                </w:r>
                <w:r>
                  <w:rPr>
                    <w:color w:val="0000FF"/>
                    <w:spacing w:val="288"/>
                    <w:sz w:val="21"/>
                  </w:rPr>
                  <w:t> </w:t>
                </w:r>
                <w:r>
                  <w:rPr>
                    <w:color w:val="0000FF"/>
                    <w:spacing w:val="-2"/>
                    <w:w w:val="95"/>
                    <w:sz w:val="18"/>
                  </w:rPr>
                  <w:t>上海徐汇区银都路 </w:t>
                </w:r>
                <w:r>
                  <w:rPr>
                    <w:rFonts w:ascii="Arial" w:eastAsia="Arial"/>
                    <w:color w:val="0000FF"/>
                    <w:w w:val="95"/>
                    <w:sz w:val="18"/>
                  </w:rPr>
                  <w:t>466</w:t>
                </w:r>
                <w:r>
                  <w:rPr>
                    <w:rFonts w:ascii="Arial" w:eastAsia="Arial"/>
                    <w:color w:val="0000FF"/>
                    <w:spacing w:val="24"/>
                    <w:w w:val="95"/>
                    <w:sz w:val="18"/>
                  </w:rPr>
                  <w:t> </w:t>
                </w:r>
                <w:r>
                  <w:rPr>
                    <w:color w:val="0000FF"/>
                    <w:spacing w:val="-2"/>
                    <w:w w:val="95"/>
                    <w:sz w:val="18"/>
                  </w:rPr>
                  <w:t>号聚科生物园 </w:t>
                </w:r>
                <w:r>
                  <w:rPr>
                    <w:rFonts w:ascii="Arial" w:eastAsia="Arial"/>
                    <w:color w:val="0000FF"/>
                    <w:w w:val="95"/>
                    <w:sz w:val="18"/>
                  </w:rPr>
                  <w:t>3</w:t>
                </w:r>
                <w:r>
                  <w:rPr>
                    <w:rFonts w:ascii="Arial" w:eastAsia="Arial"/>
                    <w:color w:val="0000FF"/>
                    <w:spacing w:val="23"/>
                    <w:w w:val="95"/>
                    <w:sz w:val="18"/>
                  </w:rPr>
                  <w:t> </w:t>
                </w:r>
                <w:r>
                  <w:rPr>
                    <w:color w:val="0000FF"/>
                    <w:spacing w:val="-4"/>
                    <w:w w:val="95"/>
                    <w:sz w:val="18"/>
                  </w:rPr>
                  <w:t>号楼 </w:t>
                </w:r>
                <w:r>
                  <w:rPr>
                    <w:rFonts w:ascii="Arial" w:eastAsia="Arial"/>
                    <w:color w:val="0000FF"/>
                    <w:w w:val="95"/>
                    <w:sz w:val="18"/>
                  </w:rPr>
                  <w:t>2</w:t>
                </w:r>
                <w:r>
                  <w:rPr>
                    <w:rFonts w:ascii="Arial" w:eastAsia="Arial"/>
                    <w:color w:val="0000FF"/>
                    <w:spacing w:val="23"/>
                    <w:w w:val="95"/>
                    <w:sz w:val="18"/>
                  </w:rPr>
                  <w:t> </w:t>
                </w:r>
                <w:r>
                  <w:rPr>
                    <w:color w:val="0000FF"/>
                    <w:w w:val="95"/>
                    <w:sz w:val="18"/>
                  </w:rPr>
                  <w:t>楼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1.049999pt;margin-top:56.150024pt;width:493.2pt;height:.72pt;mso-position-horizontal-relative:page;mso-position-vertical-relative:page;z-index:-15855104" id="docshape1" filled="true" fillcolor="#000000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461888">
          <wp:simplePos x="0" y="0"/>
          <wp:positionH relativeFrom="page">
            <wp:posOffset>879347</wp:posOffset>
          </wp:positionH>
          <wp:positionV relativeFrom="page">
            <wp:posOffset>179832</wp:posOffset>
          </wp:positionV>
          <wp:extent cx="794004" cy="73761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004" cy="737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6pt;margin-top:41.846752pt;width:123.2pt;height:14.35pt;mso-position-horizontal-relative:page;mso-position-vertical-relative:page;z-index:-158540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sz w:val="22"/>
                  </w:rPr>
                </w:pPr>
                <w:hyperlink r:id="rId2">
                  <w:r>
                    <w:rPr>
                      <w:rFonts w:ascii="Arial"/>
                      <w:color w:val="0000FF"/>
                      <w:spacing w:val="-1"/>
                      <w:sz w:val="22"/>
                    </w:rPr>
                    <w:t>www.icellbioscience.com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）"/>
      <w:lvlJc w:val="left"/>
      <w:pPr>
        <w:ind w:left="58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52" w:hanging="36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97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70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361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80" w:hanging="360"/>
        <w:jc w:val="left"/>
      </w:pPr>
      <w:rPr>
        <w:rFonts w:hint="default"/>
        <w:w w:val="10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70" w:hanging="3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3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5" w:hanging="3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88" w:hanging="3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131"/>
      <w:ind w:left="-1"/>
      <w:outlineLvl w:val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80"/>
      <w:ind w:left="-1"/>
      <w:outlineLvl w:val="2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37"/>
      <w:ind w:left="29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580" w:hanging="360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57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://www.icellbioscience.com/" TargetMode="External"/><Relationship Id="rId1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icellbioscience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2021-07-31T11:11:04Z</dcterms:created>
  <dcterms:modified xsi:type="dcterms:W3CDTF">2021-07-31T11:11:04Z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2021-07-31T00:00:00Z</vt:filetime>
  </property>
</Properties>
</file>